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廉洁自律情况承诺书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本人不存在“裸官”或其他影响使用的情况，严守干部人事纪律，坚决抵制说情、打招呼等非组织行为，提交的个人有关情况真实有效，主动接受组织和群众监督。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签字：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2020-08-20T07:13:55Z</dcterms:created>
  <dc:creator>tianh</dc:creator>
  <cp:lastModifiedBy>田虹</cp:lastModifiedBy>
  <dcterms:modified xsi:type="dcterms:W3CDTF">2020-08-20T07:14:01Z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