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BE953" w14:textId="77777777" w:rsidR="004F2C09" w:rsidRPr="00364572" w:rsidRDefault="0033501F">
      <w:pPr>
        <w:spacing w:line="600" w:lineRule="exact"/>
        <w:jc w:val="center"/>
        <w:rPr>
          <w:rFonts w:asciiTheme="minorEastAsia" w:hAnsiTheme="minorEastAsia" w:cs="黑体"/>
          <w:b/>
          <w:bCs/>
          <w:sz w:val="44"/>
          <w:szCs w:val="32"/>
        </w:rPr>
      </w:pPr>
      <w:proofErr w:type="gramStart"/>
      <w:r w:rsidRPr="00364572">
        <w:rPr>
          <w:rFonts w:asciiTheme="minorEastAsia" w:hAnsiTheme="minorEastAsia" w:cs="黑体" w:hint="eastAsia"/>
          <w:b/>
          <w:bCs/>
          <w:sz w:val="44"/>
          <w:szCs w:val="32"/>
        </w:rPr>
        <w:t>京能置业</w:t>
      </w:r>
      <w:proofErr w:type="gramEnd"/>
      <w:r w:rsidRPr="00364572">
        <w:rPr>
          <w:rFonts w:asciiTheme="minorEastAsia" w:hAnsiTheme="minorEastAsia" w:cs="黑体" w:hint="eastAsia"/>
          <w:b/>
          <w:bCs/>
          <w:sz w:val="44"/>
          <w:szCs w:val="32"/>
        </w:rPr>
        <w:t>股份有限公司</w:t>
      </w:r>
    </w:p>
    <w:p w14:paraId="514CA49F" w14:textId="77777777" w:rsidR="00364572" w:rsidRDefault="0033501F">
      <w:pPr>
        <w:spacing w:line="600" w:lineRule="exact"/>
        <w:jc w:val="center"/>
        <w:rPr>
          <w:rFonts w:asciiTheme="minorEastAsia" w:hAnsiTheme="minorEastAsia" w:cs="黑体"/>
          <w:b/>
          <w:bCs/>
          <w:sz w:val="44"/>
          <w:szCs w:val="32"/>
        </w:rPr>
      </w:pPr>
      <w:r w:rsidRPr="00364572">
        <w:rPr>
          <w:rFonts w:asciiTheme="minorEastAsia" w:hAnsiTheme="minorEastAsia" w:cs="黑体" w:hint="eastAsia"/>
          <w:b/>
          <w:bCs/>
          <w:sz w:val="44"/>
          <w:szCs w:val="32"/>
        </w:rPr>
        <w:t>总法律顾问</w:t>
      </w:r>
      <w:r w:rsidR="00364572">
        <w:rPr>
          <w:rFonts w:asciiTheme="minorEastAsia" w:hAnsiTheme="minorEastAsia" w:cs="黑体" w:hint="eastAsia"/>
          <w:b/>
          <w:bCs/>
          <w:sz w:val="44"/>
          <w:szCs w:val="32"/>
        </w:rPr>
        <w:t>(</w:t>
      </w:r>
      <w:r w:rsidRPr="00364572">
        <w:rPr>
          <w:rFonts w:asciiTheme="minorEastAsia" w:hAnsiTheme="minorEastAsia" w:cs="黑体" w:hint="eastAsia"/>
          <w:b/>
          <w:bCs/>
          <w:sz w:val="44"/>
          <w:szCs w:val="32"/>
        </w:rPr>
        <w:t>首席合</w:t>
      </w:r>
      <w:proofErr w:type="gramStart"/>
      <w:r w:rsidRPr="00364572">
        <w:rPr>
          <w:rFonts w:asciiTheme="minorEastAsia" w:hAnsiTheme="minorEastAsia" w:cs="黑体" w:hint="eastAsia"/>
          <w:b/>
          <w:bCs/>
          <w:sz w:val="44"/>
          <w:szCs w:val="32"/>
        </w:rPr>
        <w:t>规</w:t>
      </w:r>
      <w:proofErr w:type="gramEnd"/>
      <w:r w:rsidRPr="00364572">
        <w:rPr>
          <w:rFonts w:asciiTheme="minorEastAsia" w:hAnsiTheme="minorEastAsia" w:cs="黑体" w:hint="eastAsia"/>
          <w:b/>
          <w:bCs/>
          <w:sz w:val="44"/>
          <w:szCs w:val="32"/>
        </w:rPr>
        <w:t>官</w:t>
      </w:r>
      <w:r w:rsidR="00364572">
        <w:rPr>
          <w:rFonts w:asciiTheme="minorEastAsia" w:hAnsiTheme="minorEastAsia" w:cs="黑体" w:hint="eastAsia"/>
          <w:b/>
          <w:bCs/>
          <w:sz w:val="44"/>
          <w:szCs w:val="32"/>
        </w:rPr>
        <w:t>)</w:t>
      </w:r>
      <w:r w:rsidRPr="00364572">
        <w:rPr>
          <w:rFonts w:asciiTheme="minorEastAsia" w:hAnsiTheme="minorEastAsia" w:cs="黑体" w:hint="eastAsia"/>
          <w:b/>
          <w:bCs/>
          <w:sz w:val="44"/>
          <w:szCs w:val="32"/>
        </w:rPr>
        <w:t>岗位职责</w:t>
      </w:r>
    </w:p>
    <w:p w14:paraId="4B1319DA" w14:textId="603E4E3F" w:rsidR="004F2C09" w:rsidRPr="00364572" w:rsidRDefault="0033501F">
      <w:pPr>
        <w:spacing w:line="600" w:lineRule="exact"/>
        <w:jc w:val="center"/>
        <w:rPr>
          <w:rFonts w:asciiTheme="minorEastAsia" w:hAnsiTheme="minorEastAsia" w:cs="黑体"/>
          <w:b/>
          <w:bCs/>
          <w:sz w:val="44"/>
          <w:szCs w:val="32"/>
        </w:rPr>
      </w:pPr>
      <w:r w:rsidRPr="00364572">
        <w:rPr>
          <w:rFonts w:asciiTheme="minorEastAsia" w:hAnsiTheme="minorEastAsia" w:cs="黑体" w:hint="eastAsia"/>
          <w:b/>
          <w:bCs/>
          <w:sz w:val="44"/>
          <w:szCs w:val="32"/>
        </w:rPr>
        <w:t>及任职资格</w:t>
      </w:r>
    </w:p>
    <w:p w14:paraId="36D38E0C" w14:textId="77777777" w:rsidR="004F2C09" w:rsidRDefault="0033501F">
      <w:pPr>
        <w:spacing w:line="600" w:lineRule="exact"/>
        <w:jc w:val="center"/>
        <w:rPr>
          <w:rFonts w:ascii="方正小标宋简体" w:eastAsia="方正小标宋简体" w:hAnsiTheme="majorEastAsia" w:cstheme="majorEastAsia"/>
          <w:sz w:val="40"/>
          <w:szCs w:val="44"/>
        </w:rPr>
      </w:pPr>
      <w:r>
        <w:rPr>
          <w:rFonts w:ascii="方正小标宋简体" w:eastAsia="方正小标宋简体" w:hAnsiTheme="majorEastAsia" w:cstheme="majorEastAsia"/>
          <w:sz w:val="40"/>
          <w:szCs w:val="44"/>
        </w:rPr>
        <w:t xml:space="preserve"> </w:t>
      </w:r>
    </w:p>
    <w:p w14:paraId="6CFD31A2" w14:textId="77777777" w:rsidR="004F2C09" w:rsidRDefault="0033501F">
      <w:pPr>
        <w:spacing w:line="60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一、岗位职责</w:t>
      </w:r>
    </w:p>
    <w:p w14:paraId="4865F46F" w14:textId="77777777" w:rsidR="004F2C09" w:rsidRDefault="0033501F">
      <w:pPr>
        <w:spacing w:line="600" w:lineRule="exact"/>
        <w:ind w:firstLineChars="200" w:firstLine="640"/>
        <w:outlineLvl w:val="0"/>
        <w:rPr>
          <w:rFonts w:ascii="仿宋" w:eastAsia="仿宋" w:hAnsi="仿宋" w:cs="黑体"/>
          <w:bCs/>
          <w:sz w:val="32"/>
          <w:szCs w:val="32"/>
        </w:rPr>
      </w:pPr>
      <w:r>
        <w:rPr>
          <w:rFonts w:ascii="仿宋" w:eastAsia="仿宋" w:hAnsi="仿宋" w:cs="黑体" w:hint="eastAsia"/>
          <w:bCs/>
          <w:sz w:val="32"/>
          <w:szCs w:val="32"/>
        </w:rPr>
        <w:t>为公司生产、经营、管理中遇到的法律问题提供法律意见和法律风险分析；管理企业涉及的法律文书；参加重大经 济活动的谈判；负责管理企业涉及的诉讼、调解或仲裁活动； 协助企业建立健全各项规章制度，进行法制培训和法制宣传； 管理其他法律事务。</w:t>
      </w:r>
    </w:p>
    <w:p w14:paraId="0A5F2569" w14:textId="77777777" w:rsidR="004F2C09" w:rsidRDefault="0033501F">
      <w:pPr>
        <w:spacing w:line="60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二、基本条件</w:t>
      </w:r>
    </w:p>
    <w:p w14:paraId="7F2AF3E0" w14:textId="77777777" w:rsidR="004F2C09" w:rsidRPr="000D6B2A" w:rsidRDefault="0033501F" w:rsidP="000D6B2A">
      <w:pPr>
        <w:spacing w:line="600" w:lineRule="exact"/>
        <w:ind w:firstLineChars="200" w:firstLine="640"/>
        <w:outlineLvl w:val="0"/>
        <w:rPr>
          <w:rFonts w:ascii="仿宋" w:eastAsia="仿宋" w:hAnsi="仿宋" w:cs="黑体"/>
          <w:bCs/>
          <w:sz w:val="32"/>
          <w:szCs w:val="32"/>
        </w:rPr>
      </w:pPr>
      <w:r w:rsidRPr="000D6B2A">
        <w:rPr>
          <w:rFonts w:ascii="仿宋" w:eastAsia="仿宋" w:hAnsi="仿宋" w:cs="黑体" w:hint="eastAsia"/>
          <w:bCs/>
          <w:sz w:val="32"/>
          <w:szCs w:val="32"/>
        </w:rPr>
        <w:t>具有中华人民共和国国籍；</w:t>
      </w:r>
    </w:p>
    <w:p w14:paraId="2DDAC433" w14:textId="77777777" w:rsidR="004F2C09" w:rsidRPr="000D6B2A" w:rsidRDefault="0033501F" w:rsidP="000D6B2A">
      <w:pPr>
        <w:spacing w:line="600" w:lineRule="exact"/>
        <w:ind w:firstLineChars="200" w:firstLine="640"/>
        <w:outlineLvl w:val="0"/>
        <w:rPr>
          <w:rFonts w:ascii="仿宋" w:eastAsia="仿宋" w:hAnsi="仿宋" w:cs="黑体"/>
          <w:bCs/>
          <w:sz w:val="32"/>
          <w:szCs w:val="32"/>
        </w:rPr>
      </w:pPr>
      <w:r w:rsidRPr="000D6B2A">
        <w:rPr>
          <w:rFonts w:ascii="仿宋" w:eastAsia="仿宋" w:hAnsi="仿宋" w:cs="黑体" w:hint="eastAsia"/>
          <w:bCs/>
          <w:sz w:val="32"/>
          <w:szCs w:val="32"/>
        </w:rPr>
        <w:t>具有较高的政治素质，拥护、执行党和国家的基本路线、方针、政策，严守法纪，品行端正，诚信廉洁，具有良好的职业素养和个人品行；</w:t>
      </w:r>
    </w:p>
    <w:p w14:paraId="3CA59AB1" w14:textId="77777777" w:rsidR="004F2C09" w:rsidRPr="000D6B2A" w:rsidRDefault="0033501F" w:rsidP="000D6B2A">
      <w:pPr>
        <w:spacing w:line="600" w:lineRule="exact"/>
        <w:ind w:firstLineChars="200" w:firstLine="640"/>
        <w:outlineLvl w:val="0"/>
        <w:rPr>
          <w:rFonts w:ascii="仿宋" w:eastAsia="仿宋" w:hAnsi="仿宋" w:cs="黑体"/>
          <w:bCs/>
          <w:sz w:val="32"/>
          <w:szCs w:val="32"/>
        </w:rPr>
      </w:pPr>
      <w:r w:rsidRPr="000D6B2A">
        <w:rPr>
          <w:rFonts w:ascii="仿宋" w:eastAsia="仿宋" w:hAnsi="仿宋" w:cs="黑体" w:hint="eastAsia"/>
          <w:bCs/>
          <w:sz w:val="32"/>
          <w:szCs w:val="32"/>
        </w:rPr>
        <w:t>熟悉企业经营管理相关业务，具有较高的政策水平、较强的组织协调沟通能力、团队管理能力及处理复杂问题能力；</w:t>
      </w:r>
    </w:p>
    <w:p w14:paraId="382C3AB0" w14:textId="77777777" w:rsidR="004F2C09" w:rsidRPr="000D6B2A" w:rsidRDefault="0033501F" w:rsidP="000D6B2A">
      <w:pPr>
        <w:spacing w:line="600" w:lineRule="exact"/>
        <w:ind w:firstLineChars="200" w:firstLine="640"/>
        <w:outlineLvl w:val="0"/>
        <w:rPr>
          <w:rFonts w:ascii="仿宋" w:eastAsia="仿宋" w:hAnsi="仿宋" w:cs="黑体"/>
          <w:bCs/>
          <w:sz w:val="32"/>
          <w:szCs w:val="32"/>
        </w:rPr>
      </w:pPr>
      <w:r w:rsidRPr="000D6B2A">
        <w:rPr>
          <w:rFonts w:ascii="仿宋" w:eastAsia="仿宋" w:hAnsi="仿宋" w:cs="黑体" w:hint="eastAsia"/>
          <w:bCs/>
          <w:sz w:val="32"/>
          <w:szCs w:val="32"/>
        </w:rPr>
        <w:t>具有履行岗位职责所必需的理论知识和专业素养，熟悉国家经济政策及相关法律法规，熟悉相关行业情况；</w:t>
      </w:r>
    </w:p>
    <w:p w14:paraId="13D4493B" w14:textId="77777777" w:rsidR="004F2C09" w:rsidRPr="000D6B2A" w:rsidRDefault="0033501F" w:rsidP="000D6B2A">
      <w:pPr>
        <w:spacing w:line="600" w:lineRule="exact"/>
        <w:ind w:firstLineChars="200" w:firstLine="640"/>
        <w:outlineLvl w:val="0"/>
        <w:rPr>
          <w:rFonts w:ascii="仿宋" w:eastAsia="仿宋" w:hAnsi="仿宋" w:cs="黑体"/>
          <w:bCs/>
          <w:sz w:val="32"/>
          <w:szCs w:val="32"/>
        </w:rPr>
      </w:pPr>
      <w:r w:rsidRPr="000D6B2A">
        <w:rPr>
          <w:rFonts w:ascii="仿宋" w:eastAsia="仿宋" w:hAnsi="仿宋" w:cs="黑体" w:hint="eastAsia"/>
          <w:bCs/>
          <w:sz w:val="32"/>
          <w:szCs w:val="32"/>
        </w:rPr>
        <w:t>身心健康，具有正常履行职责的身体条件和心理素质，年龄一般不超过45周岁（年龄计算截止2022年3月31日），特别优秀者可适当放宽；</w:t>
      </w:r>
    </w:p>
    <w:p w14:paraId="520A275C" w14:textId="77777777" w:rsidR="004F2C09" w:rsidRPr="000D6B2A" w:rsidRDefault="0033501F" w:rsidP="000D6B2A">
      <w:pPr>
        <w:spacing w:line="600" w:lineRule="exact"/>
        <w:ind w:firstLineChars="200" w:firstLine="640"/>
        <w:outlineLvl w:val="0"/>
        <w:rPr>
          <w:rFonts w:ascii="仿宋" w:eastAsia="仿宋" w:hAnsi="仿宋" w:cs="黑体"/>
          <w:bCs/>
          <w:sz w:val="32"/>
          <w:szCs w:val="32"/>
        </w:rPr>
      </w:pPr>
      <w:r w:rsidRPr="000D6B2A">
        <w:rPr>
          <w:rFonts w:ascii="仿宋" w:eastAsia="仿宋" w:hAnsi="仿宋" w:cs="黑体" w:hint="eastAsia"/>
          <w:bCs/>
          <w:sz w:val="32"/>
          <w:szCs w:val="32"/>
        </w:rPr>
        <w:t>未受过相关行业行政处罚或行业处分，未被追究过刑事</w:t>
      </w:r>
      <w:r w:rsidRPr="000D6B2A">
        <w:rPr>
          <w:rFonts w:ascii="仿宋" w:eastAsia="仿宋" w:hAnsi="仿宋" w:cs="黑体" w:hint="eastAsia"/>
          <w:bCs/>
          <w:sz w:val="32"/>
          <w:szCs w:val="32"/>
        </w:rPr>
        <w:lastRenderedPageBreak/>
        <w:t>责任，未受过党纪政纪处分或受过党纪政纪处分影响期已满；</w:t>
      </w:r>
    </w:p>
    <w:p w14:paraId="6A94E6D6" w14:textId="77777777" w:rsidR="004F2C09" w:rsidRPr="000D6B2A" w:rsidRDefault="0033501F" w:rsidP="000D6B2A">
      <w:pPr>
        <w:spacing w:line="600" w:lineRule="exact"/>
        <w:ind w:firstLineChars="200" w:firstLine="640"/>
        <w:outlineLvl w:val="0"/>
        <w:rPr>
          <w:rFonts w:ascii="仿宋" w:eastAsia="仿宋" w:hAnsi="仿宋" w:cs="黑体"/>
          <w:bCs/>
          <w:sz w:val="32"/>
          <w:szCs w:val="32"/>
        </w:rPr>
      </w:pPr>
      <w:r w:rsidRPr="000D6B2A">
        <w:rPr>
          <w:rFonts w:ascii="仿宋" w:eastAsia="仿宋" w:hAnsi="仿宋" w:cs="黑体" w:hint="eastAsia"/>
          <w:bCs/>
          <w:sz w:val="32"/>
          <w:szCs w:val="32"/>
        </w:rPr>
        <w:t>符合回避制度的有关规定。</w:t>
      </w:r>
    </w:p>
    <w:p w14:paraId="6D688797" w14:textId="77777777" w:rsidR="004F2C09" w:rsidRDefault="0033501F">
      <w:pPr>
        <w:spacing w:line="600" w:lineRule="exact"/>
        <w:ind w:firstLineChars="200" w:firstLine="640"/>
        <w:outlineLvl w:val="0"/>
        <w:rPr>
          <w:rFonts w:ascii="黑体" w:eastAsia="黑体" w:hAnsi="黑体" w:cs="黑体"/>
          <w:bCs/>
          <w:sz w:val="32"/>
          <w:szCs w:val="32"/>
        </w:rPr>
      </w:pPr>
      <w:r>
        <w:rPr>
          <w:rFonts w:ascii="黑体" w:eastAsia="黑体" w:hAnsi="黑体" w:cs="黑体" w:hint="eastAsia"/>
          <w:bCs/>
          <w:sz w:val="32"/>
          <w:szCs w:val="32"/>
        </w:rPr>
        <w:t>三、任职资格</w:t>
      </w:r>
    </w:p>
    <w:p w14:paraId="5E26A29E" w14:textId="77777777" w:rsidR="004F2C09" w:rsidRDefault="0033501F">
      <w:pPr>
        <w:numPr>
          <w:ilvl w:val="0"/>
          <w:numId w:val="2"/>
        </w:numPr>
        <w:spacing w:line="600" w:lineRule="exact"/>
        <w:ind w:left="0" w:firstLineChars="200" w:firstLine="640"/>
        <w:outlineLvl w:val="0"/>
        <w:rPr>
          <w:rFonts w:ascii="仿宋" w:eastAsia="仿宋" w:hAnsi="仿宋" w:cs="黑体"/>
          <w:bCs/>
          <w:sz w:val="32"/>
          <w:szCs w:val="32"/>
        </w:rPr>
      </w:pPr>
      <w:r>
        <w:rPr>
          <w:rFonts w:ascii="仿宋" w:eastAsia="仿宋" w:hAnsi="仿宋" w:cs="黑体" w:hint="eastAsia"/>
          <w:bCs/>
          <w:sz w:val="32"/>
          <w:szCs w:val="32"/>
        </w:rPr>
        <w:t>具有国家承认的全日制大学本科及以上学历；</w:t>
      </w:r>
    </w:p>
    <w:p w14:paraId="0B395D7F" w14:textId="77777777" w:rsidR="004F2C09" w:rsidRDefault="0033501F">
      <w:pPr>
        <w:numPr>
          <w:ilvl w:val="0"/>
          <w:numId w:val="2"/>
        </w:numPr>
        <w:spacing w:line="600" w:lineRule="exact"/>
        <w:ind w:left="0" w:firstLineChars="200" w:firstLine="640"/>
        <w:outlineLvl w:val="0"/>
        <w:rPr>
          <w:rFonts w:ascii="仿宋" w:eastAsia="仿宋" w:hAnsi="仿宋" w:cs="黑体"/>
          <w:bCs/>
          <w:sz w:val="32"/>
          <w:szCs w:val="32"/>
        </w:rPr>
      </w:pPr>
      <w:r>
        <w:rPr>
          <w:rFonts w:ascii="仿宋" w:eastAsia="仿宋" w:hAnsi="仿宋" w:cs="黑体" w:hint="eastAsia"/>
          <w:bCs/>
          <w:sz w:val="32"/>
          <w:szCs w:val="32"/>
        </w:rPr>
        <w:t>精通法律业务，具备企业法律顾问资格、法律职业资格或仲裁员资格其中之一，遵守法律职业道德；</w:t>
      </w:r>
    </w:p>
    <w:p w14:paraId="32C4794D" w14:textId="77777777" w:rsidR="004F2C09" w:rsidRDefault="0033501F">
      <w:pPr>
        <w:numPr>
          <w:ilvl w:val="0"/>
          <w:numId w:val="2"/>
        </w:numPr>
        <w:spacing w:line="600" w:lineRule="exact"/>
        <w:ind w:left="0" w:firstLineChars="200" w:firstLine="640"/>
        <w:outlineLvl w:val="0"/>
        <w:rPr>
          <w:rFonts w:ascii="仿宋" w:eastAsia="仿宋" w:hAnsi="仿宋" w:cs="黑体"/>
          <w:bCs/>
          <w:sz w:val="32"/>
          <w:szCs w:val="32"/>
        </w:rPr>
      </w:pPr>
      <w:r>
        <w:rPr>
          <w:rFonts w:ascii="仿宋" w:eastAsia="仿宋" w:hAnsi="仿宋" w:cs="黑体" w:hint="eastAsia"/>
          <w:bCs/>
          <w:sz w:val="32"/>
          <w:szCs w:val="32"/>
        </w:rPr>
        <w:t>具备以下条件之一：</w:t>
      </w:r>
    </w:p>
    <w:p w14:paraId="366E403C" w14:textId="77777777" w:rsidR="004F2C09" w:rsidRDefault="0033501F">
      <w:pPr>
        <w:spacing w:line="600" w:lineRule="exact"/>
        <w:ind w:firstLineChars="200" w:firstLine="640"/>
        <w:outlineLvl w:val="0"/>
        <w:rPr>
          <w:rFonts w:ascii="仿宋" w:eastAsia="仿宋" w:hAnsi="仿宋" w:cs="黑体"/>
          <w:bCs/>
          <w:sz w:val="32"/>
          <w:szCs w:val="32"/>
        </w:rPr>
      </w:pPr>
      <w:r>
        <w:rPr>
          <w:rFonts w:ascii="仿宋" w:eastAsia="仿宋" w:hAnsi="仿宋" w:cs="黑体" w:hint="eastAsia"/>
          <w:bCs/>
          <w:sz w:val="32"/>
          <w:szCs w:val="32"/>
        </w:rPr>
        <w:t>①担任中央企业二级或省属一级国有企业总法律顾问（首席合</w:t>
      </w:r>
      <w:proofErr w:type="gramStart"/>
      <w:r>
        <w:rPr>
          <w:rFonts w:ascii="仿宋" w:eastAsia="仿宋" w:hAnsi="仿宋" w:cs="黑体" w:hint="eastAsia"/>
          <w:bCs/>
          <w:sz w:val="32"/>
          <w:szCs w:val="32"/>
        </w:rPr>
        <w:t>规</w:t>
      </w:r>
      <w:proofErr w:type="gramEnd"/>
      <w:r>
        <w:rPr>
          <w:rFonts w:ascii="仿宋" w:eastAsia="仿宋" w:hAnsi="仿宋" w:cs="黑体" w:hint="eastAsia"/>
          <w:bCs/>
          <w:sz w:val="32"/>
          <w:szCs w:val="32"/>
        </w:rPr>
        <w:t>官、首席法</w:t>
      </w:r>
      <w:proofErr w:type="gramStart"/>
      <w:r>
        <w:rPr>
          <w:rFonts w:ascii="仿宋" w:eastAsia="仿宋" w:hAnsi="仿宋" w:cs="黑体" w:hint="eastAsia"/>
          <w:bCs/>
          <w:sz w:val="32"/>
          <w:szCs w:val="32"/>
        </w:rPr>
        <w:t>务</w:t>
      </w:r>
      <w:proofErr w:type="gramEnd"/>
      <w:r>
        <w:rPr>
          <w:rFonts w:ascii="仿宋" w:eastAsia="仿宋" w:hAnsi="仿宋" w:cs="黑体" w:hint="eastAsia"/>
          <w:bCs/>
          <w:sz w:val="32"/>
          <w:szCs w:val="32"/>
        </w:rPr>
        <w:t>官），或担任上述企业法律事务部门正副职；</w:t>
      </w:r>
    </w:p>
    <w:p w14:paraId="3EA31FA7" w14:textId="77777777" w:rsidR="004F2C09" w:rsidRDefault="0033501F">
      <w:pPr>
        <w:spacing w:line="600" w:lineRule="exact"/>
        <w:ind w:firstLineChars="200" w:firstLine="640"/>
        <w:outlineLvl w:val="0"/>
        <w:rPr>
          <w:rFonts w:ascii="仿宋" w:eastAsia="仿宋" w:hAnsi="仿宋" w:cs="黑体"/>
          <w:bCs/>
          <w:sz w:val="32"/>
          <w:szCs w:val="32"/>
        </w:rPr>
      </w:pPr>
      <w:r>
        <w:rPr>
          <w:rFonts w:ascii="仿宋" w:eastAsia="仿宋" w:hAnsi="仿宋" w:cs="黑体" w:hint="eastAsia"/>
          <w:bCs/>
          <w:sz w:val="32"/>
          <w:szCs w:val="32"/>
        </w:rPr>
        <w:t>②担任中央企业三级或省属二级国有企业总法律顾问（首席合</w:t>
      </w:r>
      <w:proofErr w:type="gramStart"/>
      <w:r>
        <w:rPr>
          <w:rFonts w:ascii="仿宋" w:eastAsia="仿宋" w:hAnsi="仿宋" w:cs="黑体" w:hint="eastAsia"/>
          <w:bCs/>
          <w:sz w:val="32"/>
          <w:szCs w:val="32"/>
        </w:rPr>
        <w:t>规</w:t>
      </w:r>
      <w:proofErr w:type="gramEnd"/>
      <w:r>
        <w:rPr>
          <w:rFonts w:ascii="仿宋" w:eastAsia="仿宋" w:hAnsi="仿宋" w:cs="黑体" w:hint="eastAsia"/>
          <w:bCs/>
          <w:sz w:val="32"/>
          <w:szCs w:val="32"/>
        </w:rPr>
        <w:t>官、首席法</w:t>
      </w:r>
      <w:proofErr w:type="gramStart"/>
      <w:r>
        <w:rPr>
          <w:rFonts w:ascii="仿宋" w:eastAsia="仿宋" w:hAnsi="仿宋" w:cs="黑体" w:hint="eastAsia"/>
          <w:bCs/>
          <w:sz w:val="32"/>
          <w:szCs w:val="32"/>
        </w:rPr>
        <w:t>务</w:t>
      </w:r>
      <w:proofErr w:type="gramEnd"/>
      <w:r>
        <w:rPr>
          <w:rFonts w:ascii="仿宋" w:eastAsia="仿宋" w:hAnsi="仿宋" w:cs="黑体" w:hint="eastAsia"/>
          <w:bCs/>
          <w:sz w:val="32"/>
          <w:szCs w:val="32"/>
        </w:rPr>
        <w:t>官），或担任上述企业法律事务部门正职3年以上，未满3年的一般应当在上述企业法律事务部门正职岗位和副职岗位工作累计</w:t>
      </w:r>
      <w:r>
        <w:rPr>
          <w:rFonts w:ascii="仿宋" w:eastAsia="仿宋" w:hAnsi="仿宋" w:cs="黑体"/>
          <w:bCs/>
          <w:sz w:val="32"/>
          <w:szCs w:val="32"/>
        </w:rPr>
        <w:t>5</w:t>
      </w:r>
      <w:r>
        <w:rPr>
          <w:rFonts w:ascii="仿宋" w:eastAsia="仿宋" w:hAnsi="仿宋" w:cs="黑体" w:hint="eastAsia"/>
          <w:bCs/>
          <w:sz w:val="32"/>
          <w:szCs w:val="32"/>
        </w:rPr>
        <w:t>年以上；</w:t>
      </w:r>
    </w:p>
    <w:p w14:paraId="13022C0D" w14:textId="77777777" w:rsidR="004F2C09" w:rsidRDefault="0033501F">
      <w:pPr>
        <w:spacing w:line="600" w:lineRule="exact"/>
        <w:ind w:firstLineChars="200" w:firstLine="640"/>
        <w:outlineLvl w:val="0"/>
        <w:rPr>
          <w:rFonts w:ascii="仿宋" w:eastAsia="仿宋" w:hAnsi="仿宋" w:cs="黑体"/>
          <w:bCs/>
          <w:sz w:val="32"/>
          <w:szCs w:val="32"/>
        </w:rPr>
      </w:pPr>
      <w:r>
        <w:rPr>
          <w:rFonts w:ascii="仿宋" w:eastAsia="仿宋" w:hAnsi="仿宋" w:cs="黑体" w:hint="eastAsia"/>
          <w:bCs/>
          <w:sz w:val="32"/>
          <w:szCs w:val="32"/>
        </w:rPr>
        <w:t>③担任大中型民营企业总法律顾问（首席合</w:t>
      </w:r>
      <w:proofErr w:type="gramStart"/>
      <w:r>
        <w:rPr>
          <w:rFonts w:ascii="仿宋" w:eastAsia="仿宋" w:hAnsi="仿宋" w:cs="黑体" w:hint="eastAsia"/>
          <w:bCs/>
          <w:sz w:val="32"/>
          <w:szCs w:val="32"/>
        </w:rPr>
        <w:t>规</w:t>
      </w:r>
      <w:proofErr w:type="gramEnd"/>
      <w:r>
        <w:rPr>
          <w:rFonts w:ascii="仿宋" w:eastAsia="仿宋" w:hAnsi="仿宋" w:cs="黑体" w:hint="eastAsia"/>
          <w:bCs/>
          <w:sz w:val="32"/>
          <w:szCs w:val="32"/>
        </w:rPr>
        <w:t>官、首席法</w:t>
      </w:r>
      <w:proofErr w:type="gramStart"/>
      <w:r>
        <w:rPr>
          <w:rFonts w:ascii="仿宋" w:eastAsia="仿宋" w:hAnsi="仿宋" w:cs="黑体" w:hint="eastAsia"/>
          <w:bCs/>
          <w:sz w:val="32"/>
          <w:szCs w:val="32"/>
        </w:rPr>
        <w:t>务</w:t>
      </w:r>
      <w:proofErr w:type="gramEnd"/>
      <w:r>
        <w:rPr>
          <w:rFonts w:ascii="仿宋" w:eastAsia="仿宋" w:hAnsi="仿宋" w:cs="黑体" w:hint="eastAsia"/>
          <w:bCs/>
          <w:sz w:val="32"/>
          <w:szCs w:val="32"/>
        </w:rPr>
        <w:t>官），或担任上述企业法律事务部门正职3年以上；</w:t>
      </w:r>
    </w:p>
    <w:p w14:paraId="5560B527" w14:textId="77777777" w:rsidR="004F2C09" w:rsidRDefault="0033501F">
      <w:pPr>
        <w:spacing w:line="600" w:lineRule="exact"/>
        <w:ind w:firstLineChars="200" w:firstLine="640"/>
        <w:outlineLvl w:val="0"/>
        <w:rPr>
          <w:rFonts w:ascii="仿宋" w:eastAsia="仿宋" w:hAnsi="仿宋" w:cs="黑体"/>
          <w:bCs/>
          <w:sz w:val="32"/>
          <w:szCs w:val="32"/>
        </w:rPr>
      </w:pPr>
      <w:r>
        <w:rPr>
          <w:rFonts w:ascii="仿宋" w:eastAsia="仿宋" w:hAnsi="仿宋" w:cs="黑体" w:hint="eastAsia"/>
          <w:bCs/>
          <w:sz w:val="32"/>
          <w:szCs w:val="32"/>
        </w:rPr>
        <w:t>④在大中型律师事务所（2021年拥有在岗执业律师30</w:t>
      </w:r>
    </w:p>
    <w:p w14:paraId="7A128F7A" w14:textId="77777777" w:rsidR="004F2C09" w:rsidRDefault="0033501F">
      <w:pPr>
        <w:spacing w:line="600" w:lineRule="exact"/>
        <w:ind w:firstLineChars="200" w:firstLine="640"/>
        <w:outlineLvl w:val="0"/>
        <w:rPr>
          <w:rFonts w:ascii="仿宋" w:eastAsia="仿宋" w:hAnsi="仿宋" w:cs="黑体"/>
          <w:bCs/>
          <w:sz w:val="32"/>
          <w:szCs w:val="32"/>
        </w:rPr>
      </w:pPr>
      <w:r>
        <w:rPr>
          <w:rFonts w:ascii="仿宋" w:eastAsia="仿宋" w:hAnsi="仿宋" w:cs="黑体" w:hint="eastAsia"/>
          <w:bCs/>
          <w:sz w:val="32"/>
          <w:szCs w:val="32"/>
        </w:rPr>
        <w:t>人以上）从事执业律师5年以上、工作期间无未结投诉；</w:t>
      </w:r>
    </w:p>
    <w:p w14:paraId="35173441" w14:textId="77777777" w:rsidR="004F2C09" w:rsidRDefault="0033501F">
      <w:pPr>
        <w:spacing w:line="600" w:lineRule="exact"/>
        <w:ind w:firstLineChars="200" w:firstLine="640"/>
        <w:outlineLvl w:val="0"/>
        <w:rPr>
          <w:rFonts w:ascii="仿宋" w:eastAsia="仿宋" w:hAnsi="仿宋" w:cs="黑体"/>
          <w:bCs/>
          <w:sz w:val="32"/>
          <w:szCs w:val="32"/>
        </w:rPr>
      </w:pPr>
      <w:r>
        <w:rPr>
          <w:rFonts w:ascii="仿宋" w:eastAsia="仿宋" w:hAnsi="仿宋" w:cs="黑体" w:hint="eastAsia"/>
          <w:bCs/>
          <w:sz w:val="32"/>
          <w:szCs w:val="32"/>
        </w:rPr>
        <w:t>⑤具有3年以上法官、检察官职业经历，且有处理涉</w:t>
      </w:r>
      <w:proofErr w:type="gramStart"/>
      <w:r>
        <w:rPr>
          <w:rFonts w:ascii="仿宋" w:eastAsia="仿宋" w:hAnsi="仿宋" w:cs="黑体" w:hint="eastAsia"/>
          <w:bCs/>
          <w:sz w:val="32"/>
          <w:szCs w:val="32"/>
        </w:rPr>
        <w:t>企重大</w:t>
      </w:r>
      <w:proofErr w:type="gramEnd"/>
      <w:r>
        <w:rPr>
          <w:rFonts w:ascii="仿宋" w:eastAsia="仿宋" w:hAnsi="仿宋" w:cs="黑体" w:hint="eastAsia"/>
          <w:bCs/>
          <w:sz w:val="32"/>
          <w:szCs w:val="32"/>
        </w:rPr>
        <w:t>疑难法律纠纷案件经历、经验;</w:t>
      </w:r>
    </w:p>
    <w:p w14:paraId="563C820C" w14:textId="77777777" w:rsidR="004F2C09" w:rsidRDefault="0033501F">
      <w:pPr>
        <w:spacing w:line="600" w:lineRule="exact"/>
        <w:ind w:firstLineChars="200" w:firstLine="640"/>
        <w:outlineLvl w:val="0"/>
        <w:rPr>
          <w:rFonts w:ascii="仿宋" w:eastAsia="仿宋" w:hAnsi="仿宋" w:cs="黑体"/>
          <w:bCs/>
          <w:sz w:val="32"/>
          <w:szCs w:val="32"/>
        </w:rPr>
      </w:pPr>
      <w:r>
        <w:rPr>
          <w:rFonts w:ascii="仿宋" w:eastAsia="仿宋" w:hAnsi="仿宋" w:cs="黑体" w:hint="eastAsia"/>
          <w:bCs/>
          <w:sz w:val="32"/>
          <w:szCs w:val="32"/>
        </w:rPr>
        <w:t>4.特别优秀者，可适度放宽条件。</w:t>
      </w:r>
    </w:p>
    <w:sectPr w:rsidR="004F2C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5C0BB" w14:textId="77777777" w:rsidR="008617BE" w:rsidRDefault="008617BE" w:rsidP="000D6B2A">
      <w:r>
        <w:separator/>
      </w:r>
    </w:p>
  </w:endnote>
  <w:endnote w:type="continuationSeparator" w:id="0">
    <w:p w14:paraId="7C91300B" w14:textId="77777777" w:rsidR="008617BE" w:rsidRDefault="008617BE" w:rsidP="000D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1E2AB" w14:textId="77777777" w:rsidR="008617BE" w:rsidRDefault="008617BE" w:rsidP="000D6B2A">
      <w:r>
        <w:separator/>
      </w:r>
    </w:p>
  </w:footnote>
  <w:footnote w:type="continuationSeparator" w:id="0">
    <w:p w14:paraId="061AC839" w14:textId="77777777" w:rsidR="008617BE" w:rsidRDefault="008617BE" w:rsidP="000D6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A090E"/>
    <w:multiLevelType w:val="multilevel"/>
    <w:tmpl w:val="29FA090E"/>
    <w:lvl w:ilvl="0">
      <w:start w:val="1"/>
      <w:numFmt w:val="decimal"/>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3B9E6AEB"/>
    <w:multiLevelType w:val="multilevel"/>
    <w:tmpl w:val="3B9E6AEB"/>
    <w:lvl w:ilvl="0">
      <w:start w:val="1"/>
      <w:numFmt w:val="decimal"/>
      <w:suff w:val="nothing"/>
      <w:lvlText w:val="%1."/>
      <w:lvlJc w:val="left"/>
      <w:pPr>
        <w:ind w:left="839" w:hanging="420"/>
      </w:pPr>
      <w:rPr>
        <w:rFonts w:hint="eastAsia"/>
      </w:rPr>
    </w:lvl>
    <w:lvl w:ilvl="1">
      <w:start w:val="1"/>
      <w:numFmt w:val="lowerLetter"/>
      <w:lvlText w:val="%2)"/>
      <w:lvlJc w:val="left"/>
      <w:pPr>
        <w:ind w:left="1259" w:hanging="420"/>
      </w:pPr>
    </w:lvl>
    <w:lvl w:ilvl="2">
      <w:start w:val="1"/>
      <w:numFmt w:val="lowerRoman"/>
      <w:lvlText w:val="%3."/>
      <w:lvlJc w:val="right"/>
      <w:pPr>
        <w:ind w:left="1679" w:hanging="420"/>
      </w:pPr>
    </w:lvl>
    <w:lvl w:ilvl="3">
      <w:start w:val="1"/>
      <w:numFmt w:val="decimal"/>
      <w:lvlText w:val="%4."/>
      <w:lvlJc w:val="left"/>
      <w:pPr>
        <w:ind w:left="2099" w:hanging="420"/>
      </w:pPr>
    </w:lvl>
    <w:lvl w:ilvl="4">
      <w:start w:val="1"/>
      <w:numFmt w:val="lowerLetter"/>
      <w:lvlText w:val="%5)"/>
      <w:lvlJc w:val="left"/>
      <w:pPr>
        <w:ind w:left="2519" w:hanging="420"/>
      </w:pPr>
    </w:lvl>
    <w:lvl w:ilvl="5">
      <w:start w:val="1"/>
      <w:numFmt w:val="lowerRoman"/>
      <w:lvlText w:val="%6."/>
      <w:lvlJc w:val="right"/>
      <w:pPr>
        <w:ind w:left="2939" w:hanging="420"/>
      </w:pPr>
    </w:lvl>
    <w:lvl w:ilvl="6">
      <w:start w:val="1"/>
      <w:numFmt w:val="decimal"/>
      <w:lvlText w:val="%7."/>
      <w:lvlJc w:val="left"/>
      <w:pPr>
        <w:ind w:left="3359" w:hanging="420"/>
      </w:pPr>
    </w:lvl>
    <w:lvl w:ilvl="7">
      <w:start w:val="1"/>
      <w:numFmt w:val="lowerLetter"/>
      <w:lvlText w:val="%8)"/>
      <w:lvlJc w:val="left"/>
      <w:pPr>
        <w:ind w:left="3779" w:hanging="420"/>
      </w:pPr>
    </w:lvl>
    <w:lvl w:ilvl="8">
      <w:start w:val="1"/>
      <w:numFmt w:val="lowerRoman"/>
      <w:lvlText w:val="%9."/>
      <w:lvlJc w:val="right"/>
      <w:pPr>
        <w:ind w:left="419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357F9"/>
    <w:rsid w:val="000357F9"/>
    <w:rsid w:val="000D6B2A"/>
    <w:rsid w:val="00207F93"/>
    <w:rsid w:val="002B72F0"/>
    <w:rsid w:val="0033501F"/>
    <w:rsid w:val="00364572"/>
    <w:rsid w:val="0039668E"/>
    <w:rsid w:val="003C2E29"/>
    <w:rsid w:val="003E2272"/>
    <w:rsid w:val="00432BAD"/>
    <w:rsid w:val="00484498"/>
    <w:rsid w:val="004940DC"/>
    <w:rsid w:val="004F2C09"/>
    <w:rsid w:val="004F6164"/>
    <w:rsid w:val="005A1B35"/>
    <w:rsid w:val="006D5967"/>
    <w:rsid w:val="0070595D"/>
    <w:rsid w:val="00726BAF"/>
    <w:rsid w:val="007353D6"/>
    <w:rsid w:val="007875B2"/>
    <w:rsid w:val="008402A8"/>
    <w:rsid w:val="008617BE"/>
    <w:rsid w:val="008C2CFE"/>
    <w:rsid w:val="008F18EA"/>
    <w:rsid w:val="008F4B56"/>
    <w:rsid w:val="008F6216"/>
    <w:rsid w:val="00952511"/>
    <w:rsid w:val="009E7DE9"/>
    <w:rsid w:val="00A3488B"/>
    <w:rsid w:val="00AD0F00"/>
    <w:rsid w:val="00B14CD7"/>
    <w:rsid w:val="00B8253E"/>
    <w:rsid w:val="00B94414"/>
    <w:rsid w:val="00C63E92"/>
    <w:rsid w:val="00C71585"/>
    <w:rsid w:val="00C96DA4"/>
    <w:rsid w:val="00D6741A"/>
    <w:rsid w:val="00E5519E"/>
    <w:rsid w:val="00E657A6"/>
    <w:rsid w:val="00ED22F0"/>
    <w:rsid w:val="00FE22E4"/>
    <w:rsid w:val="00FF0A43"/>
    <w:rsid w:val="38D24798"/>
    <w:rsid w:val="565057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CFB0A"/>
  <w15:docId w15:val="{53D2ADF3-CF1B-4312-845E-CCB1B5CE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文档结构图 字符"/>
    <w:basedOn w:val="a0"/>
    <w:link w:val="a3"/>
    <w:uiPriority w:val="99"/>
    <w:semiHidden/>
    <w:qFormat/>
    <w:rPr>
      <w:rFonts w:ascii="宋体" w:eastAsia="宋体"/>
      <w:sz w:val="18"/>
      <w:szCs w:val="18"/>
    </w:rPr>
  </w:style>
  <w:style w:type="paragraph" w:styleId="ab">
    <w:name w:val="List Paragraph"/>
    <w:basedOn w:val="a"/>
    <w:uiPriority w:val="99"/>
    <w:qFormat/>
    <w:pPr>
      <w:widowControl/>
      <w:spacing w:line="560" w:lineRule="exact"/>
      <w:ind w:left="850" w:firstLineChars="200" w:firstLine="560"/>
    </w:pPr>
    <w:rPr>
      <w:rFonts w:ascii="仿宋_GB2312" w:eastAsia="仿宋_GB2312" w:hAnsi="Times New Roman" w:cs="Times New Roman"/>
      <w:kern w:val="0"/>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Yang Ying</cp:lastModifiedBy>
  <cp:revision>27</cp:revision>
  <cp:lastPrinted>2022-03-15T02:06:00Z</cp:lastPrinted>
  <dcterms:created xsi:type="dcterms:W3CDTF">2022-03-08T08:19:00Z</dcterms:created>
  <dcterms:modified xsi:type="dcterms:W3CDTF">2022-03-24T07:59:00Z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